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9CD6" w14:textId="4CBED3EF" w:rsidR="00E81978" w:rsidRDefault="00552EED">
      <w:pPr>
        <w:pStyle w:val="Title"/>
      </w:pPr>
      <w:sdt>
        <w:sdtPr>
          <w:alias w:val="Title:"/>
          <w:tag w:val="Title:"/>
          <w:id w:val="726351117"/>
          <w:placeholder>
            <w:docPart w:val="981DEE8475864D25A738D359D474861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F2488">
            <w:t>Regulations for Medication Prescriptions</w:t>
          </w:r>
        </w:sdtContent>
      </w:sdt>
    </w:p>
    <w:p w14:paraId="48FBA96A" w14:textId="02BACF13" w:rsidR="00B823AA" w:rsidRDefault="00552EED" w:rsidP="00B823AA">
      <w:pPr>
        <w:pStyle w:val="Title2"/>
      </w:pPr>
      <w:r>
        <w:t>(Student’s Name)</w:t>
      </w:r>
    </w:p>
    <w:p w14:paraId="799F2218" w14:textId="77777777" w:rsidR="00E81978" w:rsidRDefault="00552EED" w:rsidP="00B823AA">
      <w:pPr>
        <w:pStyle w:val="Title2"/>
      </w:pPr>
      <w:sdt>
        <w:sdtPr>
          <w:alias w:val="Institutional Affiliation(s):"/>
          <w:tag w:val="Institutional Affiliation(s):"/>
          <w:id w:val="-1771543088"/>
          <w:placeholder>
            <w:docPart w:val="4EB67EE2865049528187AF249B927F40"/>
          </w:placeholder>
          <w:temporary/>
          <w:showingPlcHdr/>
          <w15:appearance w15:val="hidden"/>
          <w:text/>
        </w:sdtPr>
        <w:sdtEndPr/>
        <w:sdtContent>
          <w:r w:rsidR="005D3A03">
            <w:t>[Institutional Affiliation(s)]</w:t>
          </w:r>
        </w:sdtContent>
      </w:sdt>
    </w:p>
    <w:p w14:paraId="3C8B93A9" w14:textId="08636B8B" w:rsidR="00E81978" w:rsidRDefault="00E81978" w:rsidP="00B823AA">
      <w:pPr>
        <w:pStyle w:val="Title2"/>
      </w:pPr>
    </w:p>
    <w:p w14:paraId="65821B7B" w14:textId="450F7F6A" w:rsidR="00E81978" w:rsidRDefault="00552EED">
      <w:pPr>
        <w:pStyle w:val="SectionTitle"/>
      </w:pPr>
      <w:sdt>
        <w:sdtPr>
          <w:alias w:val="Section title:"/>
          <w:tag w:val="Section title:"/>
          <w:id w:val="984196707"/>
          <w:placeholder>
            <w:docPart w:val="303E7D09FBF14DF2A2726F92217E423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F2488">
            <w:t>Regulations for Medication Prescriptions</w:t>
          </w:r>
        </w:sdtContent>
      </w:sdt>
    </w:p>
    <w:p w14:paraId="35E767DB" w14:textId="437ADF1C" w:rsidR="00D24423" w:rsidRDefault="00552EED" w:rsidP="00D24423">
      <w:pPr>
        <w:pStyle w:val="NoSpacing"/>
        <w:ind w:firstLine="720"/>
      </w:pPr>
      <w:r>
        <w:t>Patients' medication is very sensitive; hence the practitioners involved should be very cautious about the implications it brings along. The most important reason to be cautious is the involvement of human life. Wrong medication can cause another condition</w:t>
      </w:r>
      <w:r>
        <w:t xml:space="preserve"> in the patient's body or even allergic reactions from other medication they may be taking. In other cases, it may cause death, which is, of course, irreversible. This could also cost the practitioners a lot, hence a sensitive topic to be looked into. </w:t>
      </w:r>
    </w:p>
    <w:p w14:paraId="5BCE05FB" w14:textId="3C289037" w:rsidR="00D24423" w:rsidRDefault="00552EED" w:rsidP="00D24423">
      <w:pPr>
        <w:pStyle w:val="NoSpacing"/>
      </w:pPr>
      <w:r>
        <w:tab/>
      </w:r>
      <w:r w:rsidR="00197DC7">
        <w:t>For prescribing adult medication to a minor, I, the prescriber, would face legal charges from the child's family if the pharmacist gives issues with the dosage without checking the prescription's details. The age of the patient receiving the dosage is indicated on the prescription. However, if the pharmacist is not keen</w:t>
      </w:r>
      <w:r w:rsidR="00D64D81">
        <w:t xml:space="preserve"> and issues the medication</w:t>
      </w:r>
      <w:r w:rsidR="00197DC7">
        <w:t xml:space="preserve">, they too </w:t>
      </w:r>
      <w:r w:rsidR="00D64D81">
        <w:t>will</w:t>
      </w:r>
      <w:r w:rsidR="00197DC7">
        <w:t xml:space="preserve"> face </w:t>
      </w:r>
      <w:r w:rsidR="00D64D81">
        <w:t xml:space="preserve">a medical malpractice lawsuit, according to the California medical malpractice statute of limitations. </w:t>
      </w:r>
    </w:p>
    <w:p w14:paraId="7B316917" w14:textId="609C99A6" w:rsidR="00D64D81" w:rsidRDefault="00552EED" w:rsidP="00D24423">
      <w:pPr>
        <w:pStyle w:val="NoSpacing"/>
      </w:pPr>
      <w:r>
        <w:tab/>
        <w:t>However, on noticing the error, the pharm</w:t>
      </w:r>
      <w:r>
        <w:t>acist can inform me of the error to make the appropriate changes, instead of risking the life of a minor or our jobs. The patient, in this case, is a minor; they cannot sue me. However, the state of California gives the parents the mandate to sue the pharm</w:t>
      </w:r>
      <w:r>
        <w:t>acist and or I within three years from the time of the prescription, or any time the effects of the wrong prescription kick</w:t>
      </w:r>
      <w:r w:rsidR="009710E6">
        <w:t>s in, but must not exceed a year</w:t>
      </w:r>
      <w:r w:rsidR="006A3A4C">
        <w:t xml:space="preserve"> (Kendall, 2001)</w:t>
      </w:r>
      <w:r w:rsidR="009710E6">
        <w:t>. The minor, in this case, if five years old; the State of California allows the parents or guardians to report the malpractice any time between his current age up until he is eight years old</w:t>
      </w:r>
      <w:r w:rsidR="006A3A4C">
        <w:t xml:space="preserve"> (Sloan at al., 1989)</w:t>
      </w:r>
      <w:r w:rsidR="009710E6">
        <w:t xml:space="preserve">. </w:t>
      </w:r>
    </w:p>
    <w:p w14:paraId="34EACFDB" w14:textId="442A3570" w:rsidR="009710E6" w:rsidRDefault="00552EED" w:rsidP="00D24423">
      <w:pPr>
        <w:pStyle w:val="NoSpacing"/>
      </w:pPr>
      <w:r>
        <w:tab/>
      </w:r>
      <w:r w:rsidR="00CE3664">
        <w:t xml:space="preserve">On realizing the </w:t>
      </w:r>
      <w:r w:rsidR="00302152">
        <w:t xml:space="preserve">mistake, I should inform the hospital management to track the patient, and a solution is offered to them. I cannot go directly to the family of the patient; neither can the pharmacist. If the pharmacist notices, then there is no need for hospital management involvement; the prescription can be changed at that time. If the patient's parents or guardians </w:t>
      </w:r>
      <w:r w:rsidR="00302152">
        <w:lastRenderedPageBreak/>
        <w:t xml:space="preserve">notice the changes in their child's health, they report to the doctor, who notifies them of the problem, and they can decide whether to press charges or not. </w:t>
      </w:r>
    </w:p>
    <w:p w14:paraId="2250CFAC" w14:textId="18993DFF" w:rsidR="00302152" w:rsidRDefault="00552EED" w:rsidP="00D24423">
      <w:pPr>
        <w:pStyle w:val="NoSpacing"/>
      </w:pPr>
      <w:r>
        <w:tab/>
        <w:t>Before reporting myself, I'd research all possible effects of the drug on the child. If the drug does not</w:t>
      </w:r>
      <w:r>
        <w:t xml:space="preserve"> affect the child, I'd report myself since the chances of forgiveness from my superiors are highly likely. </w:t>
      </w:r>
      <w:r w:rsidR="009A36AF">
        <w:t>On the contrary</w:t>
      </w:r>
      <w:r>
        <w:t xml:space="preserve">, if the </w:t>
      </w:r>
      <w:r w:rsidR="009A36AF">
        <w:t>effects would be adverse on the child, I'd report myself for the sake of the child's life. My career is to save people's lives; what would I do if I let a child die. It may cost me my job, but it would be better to live with a clear conscience with another or no job than stick to a job where I am haunted by a child, who are most of my patients.</w:t>
      </w:r>
    </w:p>
    <w:p w14:paraId="49EC1356" w14:textId="4F057078" w:rsidR="009A36AF" w:rsidRDefault="00552EED" w:rsidP="00D24423">
      <w:pPr>
        <w:pStyle w:val="NoSpacing"/>
      </w:pPr>
      <w:r>
        <w:tab/>
      </w:r>
      <w:r w:rsidRPr="009A36AF">
        <w:t xml:space="preserve">All prescribed prescriptions for </w:t>
      </w:r>
      <w:r w:rsidRPr="009A36AF">
        <w:t>controlled substances must be dated as of the date they are given and signed on that date. Each prescription must include the patient's full name and address, the drug name, power, dosage type, quantity prescribed, instructions for use, and the practitione</w:t>
      </w:r>
      <w:r w:rsidRPr="009A36AF">
        <w:t>r's name, address, and DEA number. Prescriptions must often be personally signed by the doctor and written in ink, indelible pencil, or typewriter.</w:t>
      </w:r>
      <w:r w:rsidR="00DC6A7E">
        <w:t xml:space="preserve"> Verification of orders, involving the patients, and using barcodes are some of the measures to minimize medication errors.</w:t>
      </w:r>
    </w:p>
    <w:p w14:paraId="7A9A991A" w14:textId="3838E98E" w:rsidR="00DC6A7E" w:rsidRDefault="00552EED" w:rsidP="00D24423">
      <w:pPr>
        <w:pStyle w:val="NoSpacing"/>
      </w:pPr>
      <w:r>
        <w:tab/>
        <w:t>Lives cannot be recovered once a patient dies of practitioners mistakes; hence all parties involved should be cautious, objective and honest to ensure the right people take charge of the population's health. The public should also be educat</w:t>
      </w:r>
      <w:r>
        <w:t>ed to inquire more on the drugs they are prescribed, know what they do to their bodies, the possible side effects to expect, and the unexpected symptoms they should report.</w:t>
      </w:r>
    </w:p>
    <w:sdt>
      <w:sdtPr>
        <w:rPr>
          <w:rFonts w:asciiTheme="minorHAnsi" w:eastAsiaTheme="minorEastAsia" w:hAnsiTheme="minorHAnsi" w:cstheme="minorBidi"/>
        </w:rPr>
        <w:id w:val="62297111"/>
        <w:docPartObj>
          <w:docPartGallery w:val="Bibliographies"/>
          <w:docPartUnique/>
        </w:docPartObj>
      </w:sdtPr>
      <w:sdtEndPr>
        <w:rPr>
          <w:rFonts w:ascii="Arial" w:hAnsi="Arial" w:cs="Arial"/>
          <w:sz w:val="20"/>
          <w:szCs w:val="20"/>
        </w:rPr>
      </w:sdtEndPr>
      <w:sdtContent>
        <w:p w14:paraId="62C1E611" w14:textId="77777777" w:rsidR="00E81978" w:rsidRDefault="00552EED">
          <w:pPr>
            <w:pStyle w:val="SectionTitle"/>
          </w:pPr>
          <w:r>
            <w:t>References</w:t>
          </w:r>
        </w:p>
        <w:p w14:paraId="221B109C" w14:textId="427F1A39" w:rsidR="006A3A4C" w:rsidRPr="006A3A4C" w:rsidRDefault="00C31D30" w:rsidP="006A3A4C">
          <w:pPr>
            <w:pStyle w:val="Bibliography"/>
            <w:rPr>
              <w:rFonts w:ascii="Arial" w:hAnsi="Arial" w:cs="Arial"/>
              <w:color w:val="222222"/>
              <w:sz w:val="20"/>
              <w:szCs w:val="20"/>
              <w:shd w:val="clear" w:color="auto" w:fill="FFFFFF"/>
            </w:rPr>
          </w:pPr>
          <w:r w:rsidRPr="006307CF">
            <w:rPr>
              <w:rFonts w:ascii="Arial" w:hAnsi="Arial" w:cs="Arial"/>
              <w:sz w:val="20"/>
              <w:szCs w:val="20"/>
            </w:rPr>
            <w:fldChar w:fldCharType="begin"/>
          </w:r>
          <w:r w:rsidR="00552EED" w:rsidRPr="006307CF">
            <w:rPr>
              <w:rFonts w:ascii="Arial" w:hAnsi="Arial" w:cs="Arial"/>
              <w:sz w:val="20"/>
              <w:szCs w:val="20"/>
            </w:rPr>
            <w:instrText xml:space="preserve"> BIBLIOGRAPHY </w:instrText>
          </w:r>
          <w:r w:rsidRPr="006307CF">
            <w:rPr>
              <w:rFonts w:ascii="Arial" w:hAnsi="Arial" w:cs="Arial"/>
              <w:sz w:val="20"/>
              <w:szCs w:val="20"/>
            </w:rPr>
            <w:fldChar w:fldCharType="separate"/>
          </w:r>
          <w:r w:rsidR="006307CF" w:rsidRPr="006307CF">
            <w:rPr>
              <w:rFonts w:ascii="Arial" w:hAnsi="Arial" w:cs="Arial"/>
              <w:color w:val="222222"/>
              <w:sz w:val="20"/>
              <w:szCs w:val="20"/>
              <w:shd w:val="clear" w:color="auto" w:fill="FFFFFF"/>
            </w:rPr>
            <w:t xml:space="preserve"> Kendall, K. (2001). Latent Medical Errors and Maine's Statute of Limitations for Medical Malpractice: A Discussion of the Issues. </w:t>
          </w:r>
          <w:r w:rsidR="006307CF" w:rsidRPr="006307CF">
            <w:rPr>
              <w:rFonts w:ascii="Arial" w:hAnsi="Arial" w:cs="Arial"/>
              <w:i/>
              <w:iCs/>
              <w:color w:val="222222"/>
              <w:sz w:val="20"/>
              <w:szCs w:val="20"/>
              <w:shd w:val="clear" w:color="auto" w:fill="FFFFFF"/>
            </w:rPr>
            <w:t>Me. L. Rev.</w:t>
          </w:r>
          <w:r w:rsidR="006307CF" w:rsidRPr="006307CF">
            <w:rPr>
              <w:rFonts w:ascii="Arial" w:hAnsi="Arial" w:cs="Arial"/>
              <w:color w:val="222222"/>
              <w:sz w:val="20"/>
              <w:szCs w:val="20"/>
              <w:shd w:val="clear" w:color="auto" w:fill="FFFFFF"/>
            </w:rPr>
            <w:t>, </w:t>
          </w:r>
          <w:r w:rsidR="006307CF" w:rsidRPr="006307CF">
            <w:rPr>
              <w:rFonts w:ascii="Arial" w:hAnsi="Arial" w:cs="Arial"/>
              <w:i/>
              <w:iCs/>
              <w:color w:val="222222"/>
              <w:sz w:val="20"/>
              <w:szCs w:val="20"/>
              <w:shd w:val="clear" w:color="auto" w:fill="FFFFFF"/>
            </w:rPr>
            <w:t>53</w:t>
          </w:r>
          <w:r w:rsidR="006307CF" w:rsidRPr="006307CF">
            <w:rPr>
              <w:rFonts w:ascii="Arial" w:hAnsi="Arial" w:cs="Arial"/>
              <w:color w:val="222222"/>
              <w:sz w:val="20"/>
              <w:szCs w:val="20"/>
              <w:shd w:val="clear" w:color="auto" w:fill="FFFFFF"/>
            </w:rPr>
            <w:t>, 589.</w:t>
          </w:r>
        </w:p>
        <w:p w14:paraId="085B7B03" w14:textId="1EB898EB" w:rsidR="00E81978" w:rsidRDefault="00552EED" w:rsidP="00C31D30">
          <w:pPr>
            <w:pStyle w:val="Bibliography"/>
            <w:rPr>
              <w:rFonts w:ascii="Arial" w:hAnsi="Arial" w:cs="Arial"/>
              <w:sz w:val="20"/>
              <w:szCs w:val="20"/>
            </w:rPr>
          </w:pPr>
          <w:r w:rsidRPr="006307CF">
            <w:rPr>
              <w:rFonts w:ascii="Arial" w:hAnsi="Arial" w:cs="Arial"/>
              <w:color w:val="222222"/>
              <w:sz w:val="20"/>
              <w:szCs w:val="20"/>
              <w:shd w:val="clear" w:color="auto" w:fill="FFFFFF"/>
            </w:rPr>
            <w:t xml:space="preserve">Sloan, F. A., Mergenhagen, P. M., &amp; Bovbjerg, R. R. (1989). Effects of tort reforms on the value of closed medical malpractice claims: a </w:t>
          </w:r>
          <w:r w:rsidRPr="006307CF">
            <w:rPr>
              <w:rFonts w:ascii="Arial" w:hAnsi="Arial" w:cs="Arial"/>
              <w:color w:val="222222"/>
              <w:sz w:val="20"/>
              <w:szCs w:val="20"/>
              <w:shd w:val="clear" w:color="auto" w:fill="FFFFFF"/>
            </w:rPr>
            <w:t>microanalysis. </w:t>
          </w:r>
          <w:r w:rsidRPr="006307CF">
            <w:rPr>
              <w:rFonts w:ascii="Arial" w:hAnsi="Arial" w:cs="Arial"/>
              <w:i/>
              <w:iCs/>
              <w:color w:val="222222"/>
              <w:sz w:val="20"/>
              <w:szCs w:val="20"/>
              <w:shd w:val="clear" w:color="auto" w:fill="FFFFFF"/>
            </w:rPr>
            <w:t>Journal of Health Politics, Policy and Law</w:t>
          </w:r>
          <w:r w:rsidRPr="006307CF">
            <w:rPr>
              <w:rFonts w:ascii="Arial" w:hAnsi="Arial" w:cs="Arial"/>
              <w:color w:val="222222"/>
              <w:sz w:val="20"/>
              <w:szCs w:val="20"/>
              <w:shd w:val="clear" w:color="auto" w:fill="FFFFFF"/>
            </w:rPr>
            <w:t>, </w:t>
          </w:r>
          <w:r w:rsidRPr="006307CF">
            <w:rPr>
              <w:rFonts w:ascii="Arial" w:hAnsi="Arial" w:cs="Arial"/>
              <w:i/>
              <w:iCs/>
              <w:color w:val="222222"/>
              <w:sz w:val="20"/>
              <w:szCs w:val="20"/>
              <w:shd w:val="clear" w:color="auto" w:fill="FFFFFF"/>
            </w:rPr>
            <w:t>14</w:t>
          </w:r>
          <w:r w:rsidRPr="006307CF">
            <w:rPr>
              <w:rFonts w:ascii="Arial" w:hAnsi="Arial" w:cs="Arial"/>
              <w:color w:val="222222"/>
              <w:sz w:val="20"/>
              <w:szCs w:val="20"/>
              <w:shd w:val="clear" w:color="auto" w:fill="FFFFFF"/>
            </w:rPr>
            <w:t>(4), 663-689</w:t>
          </w:r>
          <w:r w:rsidR="00C31D30" w:rsidRPr="006307CF">
            <w:rPr>
              <w:rFonts w:ascii="Arial" w:hAnsi="Arial" w:cs="Arial"/>
              <w:noProof/>
              <w:sz w:val="20"/>
              <w:szCs w:val="20"/>
            </w:rPr>
            <w:t>.</w:t>
          </w:r>
          <w:r w:rsidR="00C31D30" w:rsidRPr="006307CF">
            <w:rPr>
              <w:rFonts w:ascii="Arial" w:hAnsi="Arial" w:cs="Arial"/>
              <w:b/>
              <w:bCs/>
              <w:noProof/>
              <w:sz w:val="20"/>
              <w:szCs w:val="20"/>
            </w:rPr>
            <w:fldChar w:fldCharType="end"/>
          </w:r>
        </w:p>
      </w:sdtContent>
    </w:sdt>
    <w:p w14:paraId="2ACF235F" w14:textId="2C820AE9" w:rsidR="006A3A4C" w:rsidRPr="006A3A4C" w:rsidRDefault="00552EED" w:rsidP="006A3A4C">
      <w:r>
        <w:t>Resource 2.pdf</w:t>
      </w:r>
    </w:p>
    <w:sectPr w:rsidR="006A3A4C" w:rsidRPr="006A3A4C">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C8948" w14:textId="77777777" w:rsidR="00000000" w:rsidRDefault="00552EED">
      <w:pPr>
        <w:spacing w:line="240" w:lineRule="auto"/>
      </w:pPr>
      <w:r>
        <w:separator/>
      </w:r>
    </w:p>
  </w:endnote>
  <w:endnote w:type="continuationSeparator" w:id="0">
    <w:p w14:paraId="1261FAD0" w14:textId="77777777" w:rsidR="00000000" w:rsidRDefault="0055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14A74" w14:textId="77777777" w:rsidR="00000000" w:rsidRDefault="00552EED">
      <w:pPr>
        <w:spacing w:line="240" w:lineRule="auto"/>
      </w:pPr>
      <w:r>
        <w:separator/>
      </w:r>
    </w:p>
  </w:footnote>
  <w:footnote w:type="continuationSeparator" w:id="0">
    <w:p w14:paraId="7C18DFD7" w14:textId="77777777" w:rsidR="00000000" w:rsidRDefault="00552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42FA" w14:textId="77777777" w:rsidR="00E81978" w:rsidRDefault="00552EED">
    <w:pPr>
      <w:pStyle w:val="Header"/>
    </w:pPr>
    <w:sdt>
      <w:sdtPr>
        <w:rPr>
          <w:rStyle w:val="Strong"/>
        </w:rPr>
        <w:alias w:val="Running head"/>
        <w:id w:val="12739865"/>
        <w:placeholder>
          <w:docPart w:val="693B4EA7BD314A9A9D09D01739DD2461"/>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01E">
          <w:rPr>
            <w:rStyle w:val="Strong"/>
          </w:rPr>
          <w:t>[Shortened Title up to 50 Characters]</w:t>
        </w:r>
      </w:sdtContent>
    </w:sdt>
    <w: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CE3E4" w14:textId="77777777" w:rsidR="00E81978" w:rsidRDefault="00552EED">
    <w:pPr>
      <w:pStyle w:val="Header"/>
      <w:rPr>
        <w:rStyle w:val="Strong"/>
      </w:rPr>
    </w:pPr>
    <w:r>
      <w:t xml:space="preserve">Running head: </w:t>
    </w:r>
    <w:sdt>
      <w:sdtPr>
        <w:rPr>
          <w:rStyle w:val="Strong"/>
        </w:rPr>
        <w:alias w:val="Running head"/>
        <w:id w:val="-696842620"/>
        <w:placeholder>
          <w:docPart w:val="8BDE8520DD2D44598A15D54267A8CFC2"/>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F6E91">
          <w:rPr>
            <w:rStyle w:val="Strong"/>
          </w:rPr>
          <w:t>[Shortened Title up to 50 Characters]</w:t>
        </w:r>
      </w:sdtContent>
    </w:sdt>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88"/>
    <w:rsid w:val="000D3F41"/>
    <w:rsid w:val="00197DC7"/>
    <w:rsid w:val="00302152"/>
    <w:rsid w:val="00355DCA"/>
    <w:rsid w:val="00551A02"/>
    <w:rsid w:val="00552EED"/>
    <w:rsid w:val="005534FA"/>
    <w:rsid w:val="005D3A03"/>
    <w:rsid w:val="006307CF"/>
    <w:rsid w:val="006A3A4C"/>
    <w:rsid w:val="008002C0"/>
    <w:rsid w:val="008C5323"/>
    <w:rsid w:val="008E6481"/>
    <w:rsid w:val="009710E6"/>
    <w:rsid w:val="009A36AF"/>
    <w:rsid w:val="009A6A3B"/>
    <w:rsid w:val="00B823AA"/>
    <w:rsid w:val="00BA45DB"/>
    <w:rsid w:val="00BF2488"/>
    <w:rsid w:val="00BF4184"/>
    <w:rsid w:val="00C0601E"/>
    <w:rsid w:val="00C31D30"/>
    <w:rsid w:val="00CD6E39"/>
    <w:rsid w:val="00CE3664"/>
    <w:rsid w:val="00CF6E91"/>
    <w:rsid w:val="00D24423"/>
    <w:rsid w:val="00D64D81"/>
    <w:rsid w:val="00D85B68"/>
    <w:rsid w:val="00DC6A7E"/>
    <w:rsid w:val="00E576CA"/>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6C4604"/>
  <w15:chartTrackingRefBased/>
  <w15:docId w15:val="{7857DF2C-B508-4CCF-B55F-64573AF7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1DEE8475864D25A738D359D474861E"/>
        <w:category>
          <w:name w:val="General"/>
          <w:gallery w:val="placeholder"/>
        </w:category>
        <w:types>
          <w:type w:val="bbPlcHdr"/>
        </w:types>
        <w:behaviors>
          <w:behavior w:val="content"/>
        </w:behaviors>
        <w:guid w:val="{87DE2CCB-9D26-48AE-9459-6446CCAD3D68}"/>
      </w:docPartPr>
      <w:docPartBody>
        <w:p w:rsidR="00D02CBF" w:rsidRDefault="00D02CBF">
          <w:pPr>
            <w:pStyle w:val="981DEE8475864D25A738D359D474861E"/>
          </w:pPr>
          <w:r>
            <w:t>[Title Here, up to 12 Words, on One to Two Lines]</w:t>
          </w:r>
        </w:p>
      </w:docPartBody>
    </w:docPart>
    <w:docPart>
      <w:docPartPr>
        <w:name w:val="4EB67EE2865049528187AF249B927F40"/>
        <w:category>
          <w:name w:val="General"/>
          <w:gallery w:val="placeholder"/>
        </w:category>
        <w:types>
          <w:type w:val="bbPlcHdr"/>
        </w:types>
        <w:behaviors>
          <w:behavior w:val="content"/>
        </w:behaviors>
        <w:guid w:val="{F6BA7CB2-2E1B-42BC-860D-CBF9270ED361}"/>
      </w:docPartPr>
      <w:docPartBody>
        <w:p w:rsidR="00D02CBF" w:rsidRDefault="00D02CBF">
          <w:pPr>
            <w:pStyle w:val="4EB67EE2865049528187AF249B927F40"/>
          </w:pPr>
          <w:r>
            <w:t>[Institutional Affiliation(s)]</w:t>
          </w:r>
        </w:p>
      </w:docPartBody>
    </w:docPart>
    <w:docPart>
      <w:docPartPr>
        <w:name w:val="303E7D09FBF14DF2A2726F92217E423B"/>
        <w:category>
          <w:name w:val="General"/>
          <w:gallery w:val="placeholder"/>
        </w:category>
        <w:types>
          <w:type w:val="bbPlcHdr"/>
        </w:types>
        <w:behaviors>
          <w:behavior w:val="content"/>
        </w:behaviors>
        <w:guid w:val="{F5C27079-7A09-428D-ADA5-FE928C70BFF9}"/>
      </w:docPartPr>
      <w:docPartBody>
        <w:p w:rsidR="00D02CBF" w:rsidRDefault="00D02CBF">
          <w:pPr>
            <w:pStyle w:val="303E7D09FBF14DF2A2726F92217E423B"/>
          </w:pPr>
          <w:r>
            <w:t>[Title Here, up to 12 Words, on One to Two Lines]</w:t>
          </w:r>
        </w:p>
      </w:docPartBody>
    </w:docPart>
    <w:docPart>
      <w:docPartPr>
        <w:name w:val="693B4EA7BD314A9A9D09D01739DD2461"/>
        <w:category>
          <w:name w:val="General"/>
          <w:gallery w:val="placeholder"/>
        </w:category>
        <w:types>
          <w:type w:val="bbPlcHdr"/>
        </w:types>
        <w:behaviors>
          <w:behavior w:val="content"/>
        </w:behaviors>
        <w:guid w:val="{FE9BD089-AFC4-4E32-8A37-5B6B504BBDAD}"/>
      </w:docPartPr>
      <w:docPartBody>
        <w:p w:rsidR="00D02CBF" w:rsidRDefault="00D02CBF">
          <w:pPr>
            <w:pStyle w:val="693B4EA7BD314A9A9D09D01739DD2461"/>
          </w:pPr>
          <w:r w:rsidRPr="005D3A03">
            <w:t>Figures title:</w:t>
          </w:r>
        </w:p>
      </w:docPartBody>
    </w:docPart>
    <w:docPart>
      <w:docPartPr>
        <w:name w:val="8BDE8520DD2D44598A15D54267A8CFC2"/>
        <w:category>
          <w:name w:val="General"/>
          <w:gallery w:val="placeholder"/>
        </w:category>
        <w:types>
          <w:type w:val="bbPlcHdr"/>
        </w:types>
        <w:behaviors>
          <w:behavior w:val="content"/>
        </w:behaviors>
        <w:guid w:val="{F08D175C-7394-4B86-B8BC-A49BF6318483}"/>
      </w:docPartPr>
      <w:docPartBody>
        <w:p w:rsidR="00D02CBF" w:rsidRDefault="00D02CBF">
          <w:pPr>
            <w:pStyle w:val="8BDE8520DD2D44598A15D54267A8CFC2"/>
          </w:pPr>
          <w:r>
            <w:t xml:space="preserve">[Include all figures in their own section, following references (and footnotes and tables, if </w:t>
          </w:r>
          <w:r>
            <w:t>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0"/>
    <w:rsid w:val="004F0650"/>
    <w:rsid w:val="00D0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1DEE8475864D25A738D359D474861E">
    <w:name w:val="981DEE8475864D25A738D359D474861E"/>
  </w:style>
  <w:style w:type="paragraph" w:customStyle="1" w:styleId="4EB67EE2865049528187AF249B927F40">
    <w:name w:val="4EB67EE2865049528187AF249B927F40"/>
  </w:style>
  <w:style w:type="character" w:styleId="Emphasis">
    <w:name w:val="Emphasis"/>
    <w:basedOn w:val="DefaultParagraphFont"/>
    <w:uiPriority w:val="4"/>
    <w:unhideWhenUsed/>
    <w:qFormat/>
    <w:rPr>
      <w:i/>
      <w:iCs/>
    </w:rPr>
  </w:style>
  <w:style w:type="paragraph" w:customStyle="1" w:styleId="303E7D09FBF14DF2A2726F92217E423B">
    <w:name w:val="303E7D09FBF14DF2A2726F92217E423B"/>
  </w:style>
  <w:style w:type="paragraph" w:customStyle="1" w:styleId="693B4EA7BD314A9A9D09D01739DD2461">
    <w:name w:val="693B4EA7BD314A9A9D09D01739DD2461"/>
  </w:style>
  <w:style w:type="paragraph" w:customStyle="1" w:styleId="8BDE8520DD2D44598A15D54267A8CFC2">
    <w:name w:val="8BDE8520DD2D44598A15D54267A8C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78331397-8290-421E-9D05-ADBC611CDC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1</TotalTime>
  <Pages>4</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Regulations for Medication Prescriptions</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for Medication Prescriptions</dc:title>
  <dc:creator>ASUS</dc:creator>
  <cp:lastModifiedBy>254716226303</cp:lastModifiedBy>
  <cp:revision>2</cp:revision>
  <dcterms:created xsi:type="dcterms:W3CDTF">2021-03-06T21:52:00Z</dcterms:created>
  <dcterms:modified xsi:type="dcterms:W3CDTF">2021-03-06T21:52:00Z</dcterms:modified>
</cp:coreProperties>
</file>